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0E56BB" w:rsidP="00556B04">
      <w:pPr>
        <w:pStyle w:val="Titre3"/>
        <w:jc w:val="center"/>
        <w:rPr>
          <w:sz w:val="26"/>
          <w:szCs w:val="26"/>
        </w:rPr>
      </w:pPr>
      <w:r>
        <w:rPr>
          <w:sz w:val="26"/>
          <w:szCs w:val="26"/>
        </w:rPr>
        <w:t>Règles de l’ANSSI</w:t>
      </w:r>
    </w:p>
    <w:p w:rsidR="00241AC6" w:rsidRDefault="00241AC6" w:rsidP="00241AC6">
      <w:pPr>
        <w:jc w:val="both"/>
        <w:rPr>
          <w:color w:val="000000"/>
          <w:shd w:val="clear" w:color="auto" w:fill="FFFFFF"/>
        </w:rPr>
      </w:pPr>
    </w:p>
    <w:p w:rsidR="00852F63" w:rsidRPr="00A13B99" w:rsidRDefault="000E56BB" w:rsidP="00852F63">
      <w:pPr>
        <w:pStyle w:val="Titre2"/>
        <w:jc w:val="both"/>
        <w:rPr>
          <w:sz w:val="28"/>
          <w:szCs w:val="28"/>
        </w:rPr>
      </w:pPr>
      <w:bookmarkStart w:id="0" w:name="_Toc401085312"/>
      <w:r>
        <w:rPr>
          <w:sz w:val="28"/>
          <w:szCs w:val="28"/>
        </w:rPr>
        <w:t>1</w:t>
      </w:r>
      <w:r w:rsidR="00852F63" w:rsidRPr="007252C8">
        <w:rPr>
          <w:sz w:val="28"/>
          <w:szCs w:val="28"/>
        </w:rPr>
        <w:t xml:space="preserve"> </w:t>
      </w:r>
      <w:r>
        <w:rPr>
          <w:sz w:val="28"/>
          <w:szCs w:val="28"/>
        </w:rPr>
        <w:t>Règle de</w:t>
      </w:r>
      <w:r w:rsidR="00852F63">
        <w:rPr>
          <w:sz w:val="28"/>
          <w:szCs w:val="28"/>
        </w:rPr>
        <w:t xml:space="preserve"> l’ANSSI</w:t>
      </w:r>
      <w:bookmarkEnd w:id="0"/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center"/>
        <w:rPr>
          <w:rFonts w:cs="SFRM1095"/>
        </w:rPr>
      </w:pPr>
    </w:p>
    <w:p w:rsidR="00852F63" w:rsidRDefault="00852F63" w:rsidP="00852F63">
      <w:pPr>
        <w:keepNext/>
        <w:autoSpaceDE w:val="0"/>
        <w:autoSpaceDN w:val="0"/>
        <w:adjustRightInd w:val="0"/>
        <w:spacing w:after="0" w:line="240" w:lineRule="auto"/>
        <w:jc w:val="center"/>
      </w:pPr>
      <w:r w:rsidRPr="002554D3">
        <w:rPr>
          <w:rFonts w:cs="SFRM1095"/>
          <w:noProof/>
          <w:lang w:eastAsia="fr-FR"/>
        </w:rPr>
        <w:drawing>
          <wp:inline distT="0" distB="0" distL="0" distR="0">
            <wp:extent cx="2324100" cy="2324100"/>
            <wp:effectExtent l="19050" t="0" r="0" b="0"/>
            <wp:docPr id="3" name="Image 5" descr="http://www.ssi.gouv.fr/local/cache-vignettes/L167xH167/logo-v10-macaron-comete_web-1e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si.gouv.fr/local/cache-vignettes/L167xH167/logo-v10-macaron-comete_web-1e5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63" w:rsidRDefault="00852F63" w:rsidP="00852F63">
      <w:pPr>
        <w:pStyle w:val="Lgende"/>
        <w:jc w:val="center"/>
        <w:rPr>
          <w:rFonts w:cs="SFRM1095"/>
        </w:rPr>
      </w:pPr>
      <w:r>
        <w:t xml:space="preserve">Figure </w:t>
      </w:r>
      <w:r w:rsidR="000E56BB">
        <w:t>1</w:t>
      </w:r>
      <w:r>
        <w:t xml:space="preserve"> logo ANSSI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center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567605">
        <w:rPr>
          <w:rFonts w:cs="SFRM1095"/>
        </w:rPr>
        <w:t xml:space="preserve">L'ANSSI préconise  </w:t>
      </w:r>
      <w:r>
        <w:rPr>
          <w:rFonts w:cs="SFRM1095"/>
        </w:rPr>
        <w:t>quelques</w:t>
      </w:r>
      <w:r w:rsidRPr="00567605">
        <w:rPr>
          <w:rFonts w:cs="SFRM1095"/>
        </w:rPr>
        <w:t xml:space="preserve"> Règles concernant l'installation d'un réseau Wifi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87911">
        <w:rPr>
          <w:rFonts w:cs="SFBX1095"/>
          <w:b/>
          <w:i/>
          <w:color w:val="FF0000"/>
          <w:u w:val="single"/>
        </w:rPr>
        <w:t>R1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N’activer l’interface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 que lorsqu’elle celle-ci doit être utilisée.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R2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Afin de garder le contrôle sur la connectivité du terminal, désactiver systématiquement l’association automatique aux points d’accès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 configurés dans le terminal.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R4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>Éviter tant que possible de se connecter à des réseaux sans fil inconnus ou qui ne sont pas de confiance.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R5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Bloquer, par configuration du pare-feu local, les connexions entrantes via l’interface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>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R6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>Respecter la politique de sécurité de l’entité, en particulier s’agissant des moyens cryptographiques d’authentification ainsi que de protection en confidentialité et en intégrité qui doivent être mis en œuvre.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center"/>
        <w:rPr>
          <w:rFonts w:cs="SFBX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R9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Plus largement, lorsque des données sensibles doivent être véhiculées via un réseau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, l’utilisation d’un protocole de sécurité spécifique, tel que TLS ou </w:t>
      </w:r>
      <w:proofErr w:type="spellStart"/>
      <w:r w:rsidRPr="00567605">
        <w:rPr>
          <w:rFonts w:cs="SFRM1095"/>
        </w:rPr>
        <w:t>IPsec</w:t>
      </w:r>
      <w:proofErr w:type="spellEnd"/>
      <w:r w:rsidRPr="00567605">
        <w:rPr>
          <w:rFonts w:cs="SFRM1095"/>
        </w:rPr>
        <w:t xml:space="preserve">, doit être mis en </w:t>
      </w:r>
      <w:proofErr w:type="spellStart"/>
      <w:r w:rsidRPr="00567605">
        <w:rPr>
          <w:rFonts w:cs="SFRM1095"/>
        </w:rPr>
        <w:t>oeuvre</w:t>
      </w:r>
      <w:proofErr w:type="spellEnd"/>
      <w:r w:rsidRPr="00567605">
        <w:rPr>
          <w:rFonts w:cs="SFRM1095"/>
        </w:rPr>
        <w:t>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902BA0">
        <w:rPr>
          <w:rFonts w:cs="SFBX1095"/>
          <w:b/>
          <w:i/>
          <w:color w:val="FF0000"/>
          <w:u w:val="single"/>
        </w:rPr>
        <w:t>R11</w:t>
      </w:r>
      <w:r w:rsidRPr="00567605">
        <w:rPr>
          <w:rFonts w:cs="SFBX1095"/>
          <w:color w:val="000000"/>
        </w:rPr>
        <w:t xml:space="preserve"> </w:t>
      </w:r>
      <w:r w:rsidRPr="00567605">
        <w:rPr>
          <w:rFonts w:cs="SFRM1095"/>
          <w:color w:val="000000"/>
        </w:rPr>
        <w:t xml:space="preserve">Lorsque l’accès au réseau </w:t>
      </w:r>
      <w:proofErr w:type="spellStart"/>
      <w:r w:rsidRPr="00567605">
        <w:rPr>
          <w:rFonts w:cs="SFRM1095"/>
          <w:color w:val="000000"/>
        </w:rPr>
        <w:t>WiFi</w:t>
      </w:r>
      <w:proofErr w:type="spellEnd"/>
      <w:r w:rsidRPr="00567605">
        <w:rPr>
          <w:rFonts w:cs="SFRM1095"/>
          <w:color w:val="000000"/>
        </w:rPr>
        <w:t xml:space="preserve"> n’est protégé que par un mot de passe (</w:t>
      </w:r>
      <w:r w:rsidRPr="004E04B4">
        <w:rPr>
          <w:rFonts w:cs="SFRM1095"/>
        </w:rPr>
        <w:t>WPA-PSK</w:t>
      </w:r>
      <w:r w:rsidRPr="00567605">
        <w:rPr>
          <w:rFonts w:cs="SFRM1095"/>
          <w:color w:val="000000"/>
        </w:rPr>
        <w:t>), il est primordial de changer régulièrement ce dernier mais également de contrôler sa diffusion.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567605">
        <w:rPr>
          <w:rFonts w:cs="SFRM1095"/>
          <w:color w:val="000000"/>
        </w:rPr>
        <w:t>En particulier, il convient de :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567605">
        <w:rPr>
          <w:rFonts w:cs="SFRM1095"/>
          <w:color w:val="000000"/>
        </w:rPr>
        <w:t>– ne pas communiquer le mot de passe à des tiers non autorisés (prestataires de services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proofErr w:type="gramStart"/>
      <w:r w:rsidRPr="00567605">
        <w:rPr>
          <w:rFonts w:cs="SFRM1095"/>
          <w:color w:val="000000"/>
        </w:rPr>
        <w:t>par</w:t>
      </w:r>
      <w:proofErr w:type="gramEnd"/>
      <w:r w:rsidRPr="00567605">
        <w:rPr>
          <w:rFonts w:cs="SFRM1095"/>
          <w:color w:val="000000"/>
        </w:rPr>
        <w:t xml:space="preserve"> exemple) ;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567605">
        <w:rPr>
          <w:rFonts w:cs="SFRM1095"/>
          <w:color w:val="000000"/>
        </w:rPr>
        <w:t>– ne pas écrire le mot de passe sur un support qui pourrait être vu par un tiers non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proofErr w:type="gramStart"/>
      <w:r w:rsidRPr="00567605">
        <w:rPr>
          <w:rFonts w:cs="SFRM1095"/>
          <w:color w:val="000000"/>
        </w:rPr>
        <w:t>autorisé</w:t>
      </w:r>
      <w:proofErr w:type="gramEnd"/>
      <w:r w:rsidRPr="00567605">
        <w:rPr>
          <w:rFonts w:cs="SFRM1095"/>
          <w:color w:val="000000"/>
        </w:rPr>
        <w:t xml:space="preserve"> ;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567605">
        <w:rPr>
          <w:rFonts w:cs="SFRM1095"/>
          <w:color w:val="000000"/>
        </w:rPr>
        <w:t>– changer le mot de passe régulièrement et lorsqu’il a été compromis.</w:t>
      </w: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  <w:color w:val="000000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  <w:color w:val="000000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  <w:color w:val="000000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  <w:color w:val="000000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  <w:color w:val="000000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902BA0">
        <w:rPr>
          <w:rFonts w:cs="SFBX1095"/>
          <w:b/>
          <w:i/>
          <w:color w:val="FF0000"/>
          <w:u w:val="single"/>
        </w:rPr>
        <w:t>R12</w:t>
      </w:r>
      <w:r w:rsidRPr="00567605">
        <w:rPr>
          <w:rFonts w:cs="SFBX1095"/>
          <w:color w:val="000000"/>
        </w:rPr>
        <w:t xml:space="preserve"> </w:t>
      </w:r>
      <w:r w:rsidRPr="00567605">
        <w:rPr>
          <w:rFonts w:cs="SFRM1095"/>
          <w:color w:val="000000"/>
        </w:rPr>
        <w:t xml:space="preserve">Pour les réseaux </w:t>
      </w:r>
      <w:proofErr w:type="spellStart"/>
      <w:r w:rsidRPr="00567605">
        <w:rPr>
          <w:rFonts w:cs="SFRM1095"/>
          <w:color w:val="000000"/>
        </w:rPr>
        <w:t>WiFi</w:t>
      </w:r>
      <w:proofErr w:type="spellEnd"/>
      <w:r w:rsidRPr="00567605">
        <w:rPr>
          <w:rFonts w:cs="SFRM1095"/>
          <w:color w:val="000000"/>
        </w:rPr>
        <w:t xml:space="preserve"> en environnement professionnel, mettre en œuvre </w:t>
      </w:r>
      <w:r w:rsidRPr="004E04B4">
        <w:rPr>
          <w:rFonts w:cs="SFRM1095"/>
        </w:rPr>
        <w:t>WPA2</w:t>
      </w:r>
      <w:r w:rsidRPr="00567605">
        <w:rPr>
          <w:rFonts w:cs="SFRM1095"/>
          <w:color w:val="0000FF"/>
        </w:rPr>
        <w:t xml:space="preserve"> </w:t>
      </w:r>
      <w:r w:rsidRPr="00567605">
        <w:rPr>
          <w:rFonts w:cs="SFRM1095"/>
          <w:color w:val="000000"/>
        </w:rPr>
        <w:t xml:space="preserve">avec une infrastructure d’authentification centralisée en s’appuyant sur </w:t>
      </w:r>
      <w:r w:rsidRPr="004E04B4">
        <w:rPr>
          <w:rFonts w:cs="SFRM1095"/>
        </w:rPr>
        <w:t>WPA-Entreprise</w:t>
      </w:r>
      <w:r w:rsidRPr="00567605">
        <w:rPr>
          <w:rFonts w:cs="SFRM1095"/>
          <w:color w:val="0000FF"/>
        </w:rPr>
        <w:t xml:space="preserve"> </w:t>
      </w:r>
      <w:r w:rsidRPr="00567605">
        <w:rPr>
          <w:rFonts w:cs="SFRM1095"/>
          <w:color w:val="000000"/>
        </w:rPr>
        <w:t>(standard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567605">
        <w:rPr>
          <w:rFonts w:cs="SFRM1095"/>
          <w:color w:val="000000"/>
        </w:rPr>
        <w:t>802.1X et protocole EAP), ainsi que des méthodes d’authentification robustes.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R13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Configurer le </w:t>
      </w:r>
      <w:proofErr w:type="spellStart"/>
      <w:r w:rsidRPr="00567605">
        <w:rPr>
          <w:rFonts w:cs="SFTI1095"/>
        </w:rPr>
        <w:t>Private</w:t>
      </w:r>
      <w:proofErr w:type="spellEnd"/>
      <w:r w:rsidRPr="00567605">
        <w:rPr>
          <w:rFonts w:cs="SFTI1095"/>
        </w:rPr>
        <w:t xml:space="preserve"> VLAN </w:t>
      </w:r>
      <w:r w:rsidRPr="00567605">
        <w:rPr>
          <w:rFonts w:cs="SFRM1095"/>
        </w:rPr>
        <w:t xml:space="preserve">invité en mode </w:t>
      </w:r>
      <w:proofErr w:type="spellStart"/>
      <w:r w:rsidRPr="00567605">
        <w:rPr>
          <w:rFonts w:cs="SFTI1095"/>
        </w:rPr>
        <w:t>isolated</w:t>
      </w:r>
      <w:proofErr w:type="spellEnd"/>
      <w:r w:rsidRPr="00567605">
        <w:rPr>
          <w:rFonts w:cs="SFTI1095"/>
        </w:rPr>
        <w:t xml:space="preserve"> </w:t>
      </w:r>
      <w:r w:rsidRPr="00567605">
        <w:rPr>
          <w:rFonts w:cs="SFRM1095"/>
        </w:rPr>
        <w:t xml:space="preserve">lorsque que le point d’accès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 prend en charge cette fonctionnalité.</w:t>
      </w: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R14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>Ne pas conserver un nom de réseau (SSID) générique et proposé par défaut. Le SSID retenu ne doit pas être trop explicite par rapport à une activité professionnelle ou une information personnelle</w:t>
      </w:r>
      <w:r>
        <w:rPr>
          <w:rFonts w:cs="SFRM1095"/>
        </w:rPr>
        <w:t>.</w:t>
      </w: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  <w:b/>
          <w:i/>
          <w:color w:val="FF0000"/>
          <w:u w:val="single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902BA0">
        <w:rPr>
          <w:rFonts w:cs="SFBX1095"/>
          <w:b/>
          <w:i/>
          <w:color w:val="FF0000"/>
          <w:u w:val="single"/>
        </w:rPr>
        <w:t>R17</w:t>
      </w:r>
      <w:r w:rsidRPr="00567605">
        <w:rPr>
          <w:rFonts w:cs="SFBX1095"/>
          <w:color w:val="000000"/>
        </w:rPr>
        <w:t xml:space="preserve"> </w:t>
      </w:r>
      <w:r w:rsidRPr="00567605">
        <w:rPr>
          <w:rFonts w:cs="SFRM1095"/>
          <w:color w:val="000000"/>
        </w:rPr>
        <w:t>Configurer le point d’accès pour que les évènements de sécurité puissent être supervisés.</w:t>
      </w:r>
      <w:r>
        <w:rPr>
          <w:rFonts w:cs="SFRM1095"/>
          <w:color w:val="000000"/>
        </w:rPr>
        <w:t xml:space="preserve"> En environnement professionnel.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  <w:r w:rsidRPr="00567605">
        <w:rPr>
          <w:rFonts w:cs="SFRM1095"/>
          <w:color w:val="000000"/>
        </w:rPr>
        <w:t xml:space="preserve"> </w:t>
      </w:r>
      <w:proofErr w:type="gramStart"/>
      <w:r w:rsidRPr="00567605">
        <w:rPr>
          <w:rFonts w:cs="SFRM1095"/>
          <w:color w:val="000000"/>
        </w:rPr>
        <w:t>il</w:t>
      </w:r>
      <w:proofErr w:type="gramEnd"/>
      <w:r w:rsidRPr="00567605">
        <w:rPr>
          <w:rFonts w:cs="SFRM1095"/>
          <w:color w:val="000000"/>
        </w:rPr>
        <w:t xml:space="preserve"> est préférable de rediriger l’ensemble des évènements générés par les points d’accès vers une infrastructure centrale de supervision.</w:t>
      </w: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  <w:color w:val="000000"/>
        </w:rPr>
      </w:pPr>
    </w:p>
    <w:p w:rsidR="00852F63" w:rsidRPr="002554D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R19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Ne jamais sous-estimer la zone de couverture d’un réseau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. Ne jamais penser être à l’abri de tout risque du fait de l’isolement géographique du point d’accès </w:t>
      </w:r>
      <w:proofErr w:type="spellStart"/>
      <w:r w:rsidRPr="00567605">
        <w:rPr>
          <w:rFonts w:cs="SFRM1095"/>
        </w:rPr>
        <w:t>WiFi</w:t>
      </w:r>
      <w:proofErr w:type="spellEnd"/>
      <w:r>
        <w:rPr>
          <w:rFonts w:cs="SFRM1095"/>
        </w:rPr>
        <w:t>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R20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En environnement professionnel, isoler le réseau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 du réseau filaire et mettre en place des équipements de filtrage réseau permettant l’application de règles strictes et en adéquation avec les object</w:t>
      </w:r>
      <w:r>
        <w:rPr>
          <w:rFonts w:cs="SFRM1095"/>
        </w:rPr>
        <w:t>ifs de sécurité de l’organisme.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567605">
        <w:rPr>
          <w:rFonts w:cs="SFRM1095"/>
        </w:rPr>
        <w:t>Comme pour le point d’accès, l’équipement de filtrage doit être paramétré pour que puissent être supervisés les évènements de sécurité.</w:t>
      </w: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R21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Si un réseau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 "visiteurs" doit être mis en place, il est recommandé de déployer une infrastructure dédiée à cet usage, isolée des autres et ne donnant accès à aucune ressource du réseau interne. Ce réseau doit par ailleurs avoir sa propre politique de sécurité beaucoup plus restrictive.</w:t>
      </w:r>
    </w:p>
    <w:p w:rsidR="00852F63" w:rsidRPr="00567605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BX1095"/>
        </w:rPr>
      </w:pPr>
    </w:p>
    <w:p w:rsidR="00852F63" w:rsidRDefault="00852F63" w:rsidP="00852F63">
      <w:pPr>
        <w:autoSpaceDE w:val="0"/>
        <w:autoSpaceDN w:val="0"/>
        <w:adjustRightInd w:val="0"/>
        <w:spacing w:after="0" w:line="240" w:lineRule="auto"/>
        <w:jc w:val="both"/>
        <w:rPr>
          <w:rFonts w:cs="SFRM1095"/>
        </w:rPr>
      </w:pPr>
      <w:r w:rsidRPr="00902BA0">
        <w:rPr>
          <w:rFonts w:cs="SFBX1095"/>
          <w:b/>
          <w:i/>
          <w:color w:val="FF0000"/>
          <w:u w:val="single"/>
        </w:rPr>
        <w:t>R23</w:t>
      </w:r>
      <w:r w:rsidRPr="00567605">
        <w:rPr>
          <w:rFonts w:cs="SFBX1095"/>
        </w:rPr>
        <w:t xml:space="preserve"> </w:t>
      </w:r>
      <w:r w:rsidRPr="00567605">
        <w:rPr>
          <w:rFonts w:cs="SFRM1095"/>
        </w:rPr>
        <w:t xml:space="preserve">Afin de ne pas les communiquer aux utilisateurs, déployer sur les postes Windows les informations de connexion au </w:t>
      </w:r>
      <w:proofErr w:type="spellStart"/>
      <w:r w:rsidRPr="00567605">
        <w:rPr>
          <w:rFonts w:cs="SFRM1095"/>
        </w:rPr>
        <w:t>WiFi</w:t>
      </w:r>
      <w:proofErr w:type="spellEnd"/>
      <w:r w:rsidRPr="00567605">
        <w:rPr>
          <w:rFonts w:cs="SFRM1095"/>
        </w:rPr>
        <w:t xml:space="preserve"> par GPO (nom de réseau, clé d’accès, certificats éventuels si la méthode EAP le nécessite, etc.).</w:t>
      </w:r>
    </w:p>
    <w:p w:rsidR="00A15EA8" w:rsidRPr="0091658F" w:rsidRDefault="00A15EA8" w:rsidP="0091658F">
      <w:pPr>
        <w:pStyle w:val="Lgende"/>
        <w:jc w:val="both"/>
        <w:rPr>
          <w:i/>
          <w:iCs/>
        </w:rPr>
      </w:pPr>
    </w:p>
    <w:sectPr w:rsidR="00A15EA8" w:rsidRPr="0091658F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EB" w:rsidRDefault="001D21EB" w:rsidP="00D02D69">
      <w:pPr>
        <w:spacing w:after="0" w:line="240" w:lineRule="auto"/>
      </w:pPr>
      <w:r>
        <w:separator/>
      </w:r>
    </w:p>
  </w:endnote>
  <w:endnote w:type="continuationSeparator" w:id="0">
    <w:p w:rsidR="001D21EB" w:rsidRDefault="001D21EB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I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EB" w:rsidRDefault="001D21EB" w:rsidP="00D02D69">
      <w:pPr>
        <w:spacing w:after="0" w:line="240" w:lineRule="auto"/>
      </w:pPr>
      <w:r>
        <w:separator/>
      </w:r>
    </w:p>
  </w:footnote>
  <w:footnote w:type="continuationSeparator" w:id="0">
    <w:p w:rsidR="001D21EB" w:rsidRDefault="001D21EB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2D52"/>
    <w:multiLevelType w:val="hybridMultilevel"/>
    <w:tmpl w:val="BD4C98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0CE0710"/>
    <w:multiLevelType w:val="multilevel"/>
    <w:tmpl w:val="5BC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74F20"/>
    <w:multiLevelType w:val="multilevel"/>
    <w:tmpl w:val="A86C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C24DE"/>
    <w:multiLevelType w:val="multilevel"/>
    <w:tmpl w:val="0CD229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94131BD"/>
    <w:multiLevelType w:val="multilevel"/>
    <w:tmpl w:val="C00C21C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1160CD"/>
    <w:multiLevelType w:val="hybridMultilevel"/>
    <w:tmpl w:val="885A7BD2"/>
    <w:lvl w:ilvl="0" w:tplc="A408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1CD3"/>
    <w:multiLevelType w:val="hybridMultilevel"/>
    <w:tmpl w:val="FA22843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317173"/>
    <w:multiLevelType w:val="multilevel"/>
    <w:tmpl w:val="1556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B3608"/>
    <w:multiLevelType w:val="multilevel"/>
    <w:tmpl w:val="44724F1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8246B"/>
    <w:multiLevelType w:val="hybridMultilevel"/>
    <w:tmpl w:val="A8B6E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180C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56BB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DA3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21EB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1AC6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1737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1E3D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33B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5084"/>
    <w:rsid w:val="00556B0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172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3C9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743CB"/>
    <w:rsid w:val="00774CE2"/>
    <w:rsid w:val="007773D1"/>
    <w:rsid w:val="00777A59"/>
    <w:rsid w:val="007808ED"/>
    <w:rsid w:val="007814C0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79B"/>
    <w:rsid w:val="00843914"/>
    <w:rsid w:val="00843941"/>
    <w:rsid w:val="00844773"/>
    <w:rsid w:val="00850647"/>
    <w:rsid w:val="00851FA3"/>
    <w:rsid w:val="0085281E"/>
    <w:rsid w:val="00852F63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4DC8"/>
    <w:rsid w:val="008A6F19"/>
    <w:rsid w:val="008A719F"/>
    <w:rsid w:val="008A74EC"/>
    <w:rsid w:val="008B024B"/>
    <w:rsid w:val="008B0813"/>
    <w:rsid w:val="008B1B22"/>
    <w:rsid w:val="008B2EDC"/>
    <w:rsid w:val="008B52C9"/>
    <w:rsid w:val="008B6F18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58F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1BF6"/>
    <w:rsid w:val="0093286F"/>
    <w:rsid w:val="00933D35"/>
    <w:rsid w:val="009348FF"/>
    <w:rsid w:val="009367DF"/>
    <w:rsid w:val="00936DCA"/>
    <w:rsid w:val="0093717D"/>
    <w:rsid w:val="00937B46"/>
    <w:rsid w:val="009408EB"/>
    <w:rsid w:val="00940D7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76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3B1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31A8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E7C2A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1A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3E4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5146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1">
    <w:name w:val="heading 1"/>
    <w:basedOn w:val="Normal"/>
    <w:next w:val="Normal"/>
    <w:link w:val="Titre1Car"/>
    <w:uiPriority w:val="9"/>
    <w:qFormat/>
    <w:rsid w:val="00D83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56B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82172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582172"/>
    <w:pPr>
      <w:spacing w:after="120"/>
    </w:pPr>
  </w:style>
  <w:style w:type="character" w:customStyle="1" w:styleId="StrongEmphasis">
    <w:name w:val="Strong Emphasis"/>
    <w:basedOn w:val="Policepardfaut"/>
    <w:rsid w:val="00582172"/>
    <w:rPr>
      <w:b/>
      <w:bCs/>
    </w:rPr>
  </w:style>
  <w:style w:type="paragraph" w:customStyle="1" w:styleId="Heading3">
    <w:name w:val="Heading 3"/>
    <w:basedOn w:val="Normal"/>
    <w:next w:val="Textbody"/>
    <w:rsid w:val="00582172"/>
    <w:pPr>
      <w:keepNext/>
      <w:suppressAutoHyphens/>
      <w:autoSpaceDN w:val="0"/>
      <w:spacing w:before="240" w:after="120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83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831A8"/>
    <w:rPr>
      <w:b/>
      <w:bCs/>
    </w:rPr>
  </w:style>
  <w:style w:type="character" w:styleId="Accentuation">
    <w:name w:val="Emphasis"/>
    <w:basedOn w:val="Policepardfaut"/>
    <w:uiPriority w:val="20"/>
    <w:qFormat/>
    <w:rsid w:val="00D831A8"/>
    <w:rPr>
      <w:i/>
      <w:iCs/>
    </w:rPr>
  </w:style>
  <w:style w:type="character" w:customStyle="1" w:styleId="apple-converted-space">
    <w:name w:val="apple-converted-space"/>
    <w:basedOn w:val="Policepardfaut"/>
    <w:rsid w:val="00241AC6"/>
  </w:style>
  <w:style w:type="character" w:customStyle="1" w:styleId="s-rg-t">
    <w:name w:val="s-rg-t"/>
    <w:basedOn w:val="Policepardfaut"/>
    <w:rsid w:val="00241AC6"/>
  </w:style>
  <w:style w:type="character" w:styleId="Emphaseintense">
    <w:name w:val="Intense Emphasis"/>
    <w:basedOn w:val="Policepardfaut"/>
    <w:uiPriority w:val="21"/>
    <w:qFormat/>
    <w:rsid w:val="0091658F"/>
    <w:rPr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58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165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4</cp:revision>
  <dcterms:created xsi:type="dcterms:W3CDTF">2015-01-27T18:09:00Z</dcterms:created>
  <dcterms:modified xsi:type="dcterms:W3CDTF">2015-01-27T18:10:00Z</dcterms:modified>
</cp:coreProperties>
</file>